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A6EEC" w14:textId="77777777" w:rsidR="002C6B28" w:rsidRPr="002C6B28" w:rsidRDefault="002C6B28" w:rsidP="002C6B28">
      <w:r w:rsidRPr="002C6B28">
        <w:t>Intro HP Problem Set 2 | Radionuclide Scavenger Hunt </w:t>
      </w:r>
    </w:p>
    <w:p w14:paraId="239E19DF" w14:textId="77777777" w:rsidR="002C6B28" w:rsidRPr="002C6B28" w:rsidRDefault="002C6B28" w:rsidP="002C6B28">
      <w:r w:rsidRPr="002C6B28">
        <w:t>Purpose: get familiar with the physical properties of different radionuclides and better understand the implications for radiological protection. </w:t>
      </w:r>
    </w:p>
    <w:p w14:paraId="03533417" w14:textId="77777777" w:rsidR="002C6B28" w:rsidRPr="002C6B28" w:rsidRDefault="002C6B28" w:rsidP="002C6B28">
      <w:r w:rsidRPr="002C6B28">
        <w:t>Instructions:  </w:t>
      </w:r>
    </w:p>
    <w:p w14:paraId="2A02130D" w14:textId="77777777" w:rsidR="002C6B28" w:rsidRPr="002C6B28" w:rsidRDefault="002C6B28" w:rsidP="002C6B28">
      <w:pPr>
        <w:numPr>
          <w:ilvl w:val="0"/>
          <w:numId w:val="1"/>
        </w:numPr>
      </w:pPr>
      <w:r w:rsidRPr="002C6B28">
        <w:t>Save a copy of this document (don’t modify the original, please!) </w:t>
      </w:r>
    </w:p>
    <w:p w14:paraId="2CA19226" w14:textId="77777777" w:rsidR="002C6B28" w:rsidRPr="002C6B28" w:rsidRDefault="002D4428" w:rsidP="002C6B28">
      <w:pPr>
        <w:numPr>
          <w:ilvl w:val="0"/>
          <w:numId w:val="2"/>
        </w:numPr>
      </w:pPr>
      <w:hyperlink r:id="rId5" w:tgtFrame="_blank" w:history="1">
        <w:r w:rsidR="002C6B28" w:rsidRPr="002C6B28">
          <w:rPr>
            <w:rStyle w:val="Hyperlink"/>
          </w:rPr>
          <w:t>“Sign up” for your radionuclide(s)</w:t>
        </w:r>
      </w:hyperlink>
      <w:r w:rsidR="002C6B28" w:rsidRPr="002C6B28">
        <w:t xml:space="preserve"> on the assignment sheet.  </w:t>
      </w:r>
    </w:p>
    <w:p w14:paraId="4D707DAB" w14:textId="77777777" w:rsidR="002C6B28" w:rsidRPr="002C6B28" w:rsidRDefault="002C6B28" w:rsidP="002C6B28">
      <w:pPr>
        <w:numPr>
          <w:ilvl w:val="0"/>
          <w:numId w:val="3"/>
        </w:numPr>
      </w:pPr>
      <w:r w:rsidRPr="002C6B28">
        <w:t>Pick a “common” radionuclide from list A, as well as any radionuclide(s) from list B. Feel free to add to the B-list. </w:t>
      </w:r>
    </w:p>
    <w:p w14:paraId="6F91D5FF" w14:textId="77777777" w:rsidR="002C6B28" w:rsidRPr="002C6B28" w:rsidRDefault="002C6B28" w:rsidP="002C6B28">
      <w:r w:rsidRPr="002C6B28">
        <w:t>Part 1: Radionuclide Properties </w:t>
      </w:r>
    </w:p>
    <w:p w14:paraId="48CB7F6A" w14:textId="77777777" w:rsidR="002C6B28" w:rsidRPr="002C6B28" w:rsidRDefault="002C6B28" w:rsidP="002C6B28">
      <w:r w:rsidRPr="002C6B28">
        <w:t>Use an interactive chart of the nuclides (</w:t>
      </w:r>
      <w:hyperlink r:id="rId6" w:tgtFrame="_blank" w:history="1">
        <w:r w:rsidRPr="002C6B28">
          <w:rPr>
            <w:rStyle w:val="Hyperlink"/>
          </w:rPr>
          <w:t>IAEA</w:t>
        </w:r>
      </w:hyperlink>
      <w:r w:rsidRPr="002C6B28">
        <w:t xml:space="preserve">, </w:t>
      </w:r>
      <w:hyperlink r:id="rId7" w:tgtFrame="_blank" w:history="1">
        <w:r w:rsidRPr="002C6B28">
          <w:rPr>
            <w:rStyle w:val="Hyperlink"/>
          </w:rPr>
          <w:t>BNL</w:t>
        </w:r>
      </w:hyperlink>
      <w:r w:rsidRPr="002C6B28">
        <w:t>, or other) OR another authoritative source of nuclear decay data (e.g., ICRP, NIST) to find the following for your radionuclide(s): </w:t>
      </w:r>
    </w:p>
    <w:p w14:paraId="41E3CF03" w14:textId="2E3AD41C" w:rsidR="002C6B28" w:rsidRPr="002C6B28" w:rsidRDefault="002C6B28" w:rsidP="002C6B28">
      <w:pPr>
        <w:numPr>
          <w:ilvl w:val="0"/>
          <w:numId w:val="4"/>
        </w:numPr>
      </w:pPr>
      <w:r>
        <w:t>Thorium-232 (Th-232)</w:t>
      </w:r>
    </w:p>
    <w:p w14:paraId="550D03A8" w14:textId="796A615A" w:rsidR="008B1450" w:rsidRDefault="008B1450" w:rsidP="002C6B28">
      <w:pPr>
        <w:numPr>
          <w:ilvl w:val="0"/>
          <w:numId w:val="5"/>
        </w:numPr>
      </w:pPr>
      <w:r>
        <w:t xml:space="preserve">90 protons, 142 neutrons (232-90), and atomic mass of 232 </w:t>
      </w:r>
    </w:p>
    <w:p w14:paraId="5CC67484" w14:textId="0DC90502" w:rsidR="008B1450" w:rsidRDefault="008B1450" w:rsidP="008B1450">
      <w:pPr>
        <w:numPr>
          <w:ilvl w:val="0"/>
          <w:numId w:val="5"/>
        </w:numPr>
      </w:pPr>
      <w:r>
        <w:t xml:space="preserve">Th-232 and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90</m:t>
            </m:r>
          </m:sub>
          <m:sup>
            <m:r>
              <w:rPr>
                <w:rFonts w:ascii="Cambria Math" w:hAnsi="Cambria Math"/>
              </w:rPr>
              <m:t>232</m:t>
            </m:r>
          </m:sup>
          <m:e>
            <m:r>
              <w:rPr>
                <w:rFonts w:ascii="Cambria Math" w:hAnsi="Cambria Math"/>
              </w:rPr>
              <m:t>Th</m:t>
            </m:r>
          </m:e>
        </m:sPre>
      </m:oMath>
    </w:p>
    <w:p w14:paraId="75C01CCB" w14:textId="3C31C7B0" w:rsidR="002C6B28" w:rsidRPr="002C6B28" w:rsidRDefault="007453C1" w:rsidP="002C6B28">
      <w:pPr>
        <w:numPr>
          <w:ilvl w:val="0"/>
          <w:numId w:val="7"/>
        </w:numPr>
      </w:pPr>
      <w:r>
        <w:t>Most abundant (and stable) natural isotope of thorium (99.98%)</w:t>
      </w:r>
    </w:p>
    <w:p w14:paraId="661D8643" w14:textId="1CCE40CC" w:rsidR="002C6B28" w:rsidRPr="002C6B28" w:rsidRDefault="007453C1" w:rsidP="007453C1">
      <w:pPr>
        <w:pStyle w:val="ListParagraph"/>
        <w:numPr>
          <w:ilvl w:val="0"/>
          <w:numId w:val="9"/>
        </w:numPr>
      </w:pPr>
      <w:proofErr w:type="gramStart"/>
      <w:r>
        <w:t>14 billion year</w:t>
      </w:r>
      <w:proofErr w:type="gramEnd"/>
      <w:r>
        <w:t xml:space="preserve"> half life</w:t>
      </w:r>
    </w:p>
    <w:p w14:paraId="15B4B58C" w14:textId="17482881" w:rsidR="002C6B28" w:rsidRPr="002C6B28" w:rsidRDefault="007453C1" w:rsidP="002C6B28">
      <w:pPr>
        <w:numPr>
          <w:ilvl w:val="0"/>
          <w:numId w:val="9"/>
        </w:numPr>
      </w:pPr>
      <w:r>
        <w:t xml:space="preserve">Decay related information: </w:t>
      </w:r>
    </w:p>
    <w:p w14:paraId="3C0312D1" w14:textId="77777777" w:rsidR="007453C1" w:rsidRDefault="007453C1" w:rsidP="003C73BE">
      <w:pPr>
        <w:numPr>
          <w:ilvl w:val="0"/>
          <w:numId w:val="11"/>
        </w:numPr>
      </w:pPr>
      <w:r w:rsidRPr="007453C1">
        <w:t xml:space="preserve">The decay process also emits </w:t>
      </w:r>
      <w:r>
        <w:t xml:space="preserve">alpha particles and </w:t>
      </w:r>
      <w:r w:rsidRPr="007453C1">
        <w:t>gamma radiation</w:t>
      </w:r>
    </w:p>
    <w:p w14:paraId="7EB69F5C" w14:textId="77777777" w:rsidR="007453C1" w:rsidRDefault="007453C1" w:rsidP="007453C1">
      <w:pPr>
        <w:numPr>
          <w:ilvl w:val="0"/>
          <w:numId w:val="11"/>
        </w:numPr>
      </w:pPr>
      <w:r>
        <w:t>Gamma ray energy is 186 keV</w:t>
      </w:r>
    </w:p>
    <w:p w14:paraId="0D85E635" w14:textId="21A9BEAB" w:rsidR="002C6B28" w:rsidRPr="002C6B28" w:rsidRDefault="007453C1" w:rsidP="007453C1">
      <w:pPr>
        <w:numPr>
          <w:ilvl w:val="0"/>
          <w:numId w:val="11"/>
        </w:numPr>
      </w:pPr>
      <w:r>
        <w:t xml:space="preserve">First daughter is Radium-228, then Actinium-228, Thorium-228, Radium-224, </w:t>
      </w:r>
      <w:r w:rsidR="00387FAB">
        <w:t>Radon-220</w:t>
      </w:r>
      <w:r w:rsidR="002679B1">
        <w:t xml:space="preserve"> (thoron)</w:t>
      </w:r>
      <w:r w:rsidR="00387FAB">
        <w:t>, Polonium-216, Lead-212, Bismuth-212, Polonium-212, Thallium-208</w:t>
      </w:r>
      <w:r>
        <w:t xml:space="preserve"> and ends at stable Lead-208</w:t>
      </w:r>
      <w:r w:rsidR="00387FAB">
        <w:t xml:space="preserve"> (“Thorium Series”)</w:t>
      </w:r>
    </w:p>
    <w:p w14:paraId="64DD3E6B" w14:textId="159ACF29" w:rsidR="002C6B28" w:rsidRPr="002C6B28" w:rsidRDefault="00387FAB" w:rsidP="002C6B28">
      <w:pPr>
        <w:numPr>
          <w:ilvl w:val="0"/>
          <w:numId w:val="13"/>
        </w:numPr>
      </w:pPr>
      <w:r>
        <w:t xml:space="preserve">Quick decay to lead once the series begins. The longest half life of any element in the chain is radium-228 (5.75 years), the next longest is Th-228 (~2 years) and all others under 4 days. </w:t>
      </w:r>
      <w:r w:rsidR="002C6B28" w:rsidRPr="002C6B28">
        <w:t> </w:t>
      </w:r>
    </w:p>
    <w:p w14:paraId="16B06D6F" w14:textId="77777777" w:rsidR="002C6B28" w:rsidRPr="002C6B28" w:rsidRDefault="002C6B28" w:rsidP="002C6B28">
      <w:r w:rsidRPr="002C6B28">
        <w:rPr>
          <w:i/>
          <w:iCs/>
        </w:rPr>
        <w:t>Extra credit</w:t>
      </w:r>
      <w:r w:rsidRPr="002C6B28">
        <w:t>: determine if the primary decay product is stable. If not, repeat the above for the decay product. </w:t>
      </w:r>
    </w:p>
    <w:p w14:paraId="0962F7A5" w14:textId="77777777" w:rsidR="002C6B28" w:rsidRPr="002C6B28" w:rsidRDefault="002C6B28" w:rsidP="002C6B28">
      <w:r w:rsidRPr="002C6B28">
        <w:t>Part 2: Radiation Protection Considerations </w:t>
      </w:r>
    </w:p>
    <w:p w14:paraId="34C330E3" w14:textId="77777777" w:rsidR="002C6B28" w:rsidRPr="002C6B28" w:rsidRDefault="002C6B28" w:rsidP="002C6B28">
      <w:r w:rsidRPr="002C6B28">
        <w:t>Using class resources or an internet search, address these questions. Note: for rare/uncommon radionuclides, information may be limited. </w:t>
      </w:r>
    </w:p>
    <w:p w14:paraId="3F3733EE" w14:textId="77777777" w:rsidR="002C6B28" w:rsidRDefault="002C6B28" w:rsidP="002C6B28">
      <w:pPr>
        <w:numPr>
          <w:ilvl w:val="0"/>
          <w:numId w:val="14"/>
        </w:numPr>
      </w:pPr>
      <w:r w:rsidRPr="002C6B28">
        <w:t>Are there practical uses of this radionuclide? What are they? </w:t>
      </w:r>
    </w:p>
    <w:p w14:paraId="3A5075D6" w14:textId="3EA27FBE" w:rsidR="004D48CD" w:rsidRDefault="004D48CD" w:rsidP="004D48CD">
      <w:pPr>
        <w:numPr>
          <w:ilvl w:val="1"/>
          <w:numId w:val="14"/>
        </w:numPr>
      </w:pPr>
      <w:r w:rsidRPr="004D48CD">
        <w:t>Thorium-232 is used in gas lantern mantles and welding electrodes.</w:t>
      </w:r>
    </w:p>
    <w:p w14:paraId="118907E1" w14:textId="63DBF38F" w:rsidR="004D48CD" w:rsidRDefault="004D48CD" w:rsidP="004D48CD">
      <w:pPr>
        <w:numPr>
          <w:ilvl w:val="1"/>
          <w:numId w:val="14"/>
        </w:numPr>
      </w:pPr>
      <w:r w:rsidRPr="004D48CD">
        <w:lastRenderedPageBreak/>
        <w:t xml:space="preserve">Thorium-232 is in the news primarily due to China's </w:t>
      </w:r>
      <w:r w:rsidR="00433A1F">
        <w:t>research and development of</w:t>
      </w:r>
      <w:r w:rsidRPr="004D48CD">
        <w:t xml:space="preserve"> thorium-based nuclear power</w:t>
      </w:r>
      <w:r w:rsidR="00433A1F">
        <w:t>. China has</w:t>
      </w:r>
      <w:r w:rsidRPr="004D48CD">
        <w:t xml:space="preserve"> begun building larger demonstration reactors and successfully reloaded their experimental reactor while it was running.</w:t>
      </w:r>
    </w:p>
    <w:p w14:paraId="24784A99" w14:textId="6EE6D98F" w:rsidR="00433A1F" w:rsidRDefault="00433A1F" w:rsidP="00433A1F">
      <w:pPr>
        <w:numPr>
          <w:ilvl w:val="2"/>
          <w:numId w:val="14"/>
        </w:numPr>
      </w:pPr>
      <w:r>
        <w:t>Thorium-fueled molten salt reactor (</w:t>
      </w:r>
      <w:proofErr w:type="gramStart"/>
      <w:r>
        <w:t>Gobi desert</w:t>
      </w:r>
      <w:proofErr w:type="gramEnd"/>
      <w:r>
        <w:t xml:space="preserve">) </w:t>
      </w:r>
      <w:r w:rsidR="00BE1D85">
        <w:t>achieved</w:t>
      </w:r>
      <w:r>
        <w:t xml:space="preserve"> full power in 2024 and generates 2 MW of thermal power</w:t>
      </w:r>
      <w:r w:rsidR="00BE1D85">
        <w:t>; refueled without shutdown in late 2024</w:t>
      </w:r>
    </w:p>
    <w:p w14:paraId="76F173DE" w14:textId="17C2F376" w:rsidR="00BE1D85" w:rsidRDefault="00BE1D85" w:rsidP="00433A1F">
      <w:pPr>
        <w:numPr>
          <w:ilvl w:val="2"/>
          <w:numId w:val="14"/>
        </w:numPr>
      </w:pPr>
      <w:r>
        <w:t>Thorium reactors produce significantly less long-lived radioactive waste compared to traditional uranium reactors</w:t>
      </w:r>
    </w:p>
    <w:p w14:paraId="3AD6DA41" w14:textId="77777777" w:rsidR="004D48CD" w:rsidRDefault="004D48CD" w:rsidP="004D48CD">
      <w:pPr>
        <w:numPr>
          <w:ilvl w:val="1"/>
          <w:numId w:val="14"/>
        </w:numPr>
      </w:pPr>
      <w:r>
        <w:t xml:space="preserve">Thorium-232 can be converted into uranium-233 (²³³U) in a nuclear reactor, which then serves as fuel for the thorium fuel cycle. </w:t>
      </w:r>
    </w:p>
    <w:p w14:paraId="011D17D1" w14:textId="6714BB2D" w:rsidR="004D48CD" w:rsidRDefault="004D48CD" w:rsidP="004D48CD">
      <w:pPr>
        <w:numPr>
          <w:ilvl w:val="2"/>
          <w:numId w:val="14"/>
        </w:numPr>
      </w:pPr>
      <w:r w:rsidRPr="004D48CD">
        <w:t xml:space="preserve">Fertile nuclides </w:t>
      </w:r>
      <w:proofErr w:type="gramStart"/>
      <w:r w:rsidRPr="004D48CD">
        <w:t>are able to</w:t>
      </w:r>
      <w:proofErr w:type="gramEnd"/>
      <w:r w:rsidRPr="004D48CD">
        <w:t xml:space="preserve"> absorb a neutron and transform to a nuclide that is able to undergo fission (fissile nuclide). Thorium-232 is a fertile nuclide and is used in combination with a fissile nuclide as a fuel source in types of nuclear reactors known as breeder reactors. Breeder reactors </w:t>
      </w:r>
      <w:proofErr w:type="gramStart"/>
      <w:r w:rsidRPr="004D48CD">
        <w:t>are able to</w:t>
      </w:r>
      <w:proofErr w:type="gramEnd"/>
      <w:r w:rsidRPr="004D48CD">
        <w:t xml:space="preserve"> continually generate new fuel as fuel is being consumed. The United States does not operate breed reactors.  </w:t>
      </w:r>
    </w:p>
    <w:p w14:paraId="5F7FD36B" w14:textId="77777777" w:rsidR="004D48CD" w:rsidRDefault="004D48CD" w:rsidP="004D48CD">
      <w:pPr>
        <w:numPr>
          <w:ilvl w:val="1"/>
          <w:numId w:val="14"/>
        </w:numPr>
      </w:pPr>
      <w:r>
        <w:t xml:space="preserve">This cycle is seen as a path to a potentially sustainable, long-term energy supply due to thorium's abundance. </w:t>
      </w:r>
    </w:p>
    <w:p w14:paraId="0FCCE947" w14:textId="45DE879D" w:rsidR="004D48CD" w:rsidRPr="002C6B28" w:rsidRDefault="004D48CD" w:rsidP="004D48CD">
      <w:pPr>
        <w:numPr>
          <w:ilvl w:val="1"/>
          <w:numId w:val="14"/>
        </w:numPr>
      </w:pPr>
      <w:r>
        <w:t>Advanced reactor designs, such as liquid fluoride reactors (LFTRs), are being explored to efficiently utilize the thorium fuel cycle.</w:t>
      </w:r>
    </w:p>
    <w:p w14:paraId="43D00588" w14:textId="77777777" w:rsidR="002C6B28" w:rsidRDefault="002C6B28" w:rsidP="002C6B28">
      <w:pPr>
        <w:numPr>
          <w:ilvl w:val="0"/>
          <w:numId w:val="15"/>
        </w:numPr>
      </w:pPr>
      <w:r w:rsidRPr="002C6B28">
        <w:t>Where/how might it be encountered by humans? </w:t>
      </w:r>
    </w:p>
    <w:p w14:paraId="091D2847" w14:textId="4414357B" w:rsidR="00810EFD" w:rsidRPr="002C6B28" w:rsidRDefault="00810EFD" w:rsidP="00810EFD">
      <w:pPr>
        <w:numPr>
          <w:ilvl w:val="1"/>
          <w:numId w:val="15"/>
        </w:numPr>
      </w:pPr>
      <w:r>
        <w:t>Soil</w:t>
      </w:r>
    </w:p>
    <w:p w14:paraId="1E71049B" w14:textId="77777777" w:rsidR="002C6B28" w:rsidRDefault="002C6B28" w:rsidP="002C6B28">
      <w:pPr>
        <w:numPr>
          <w:ilvl w:val="0"/>
          <w:numId w:val="16"/>
        </w:numPr>
      </w:pPr>
      <w:r w:rsidRPr="002C6B28">
        <w:t>Under what scenarios and with what likelihood? </w:t>
      </w:r>
    </w:p>
    <w:p w14:paraId="5F0BB451" w14:textId="540E955B" w:rsidR="004D48CD" w:rsidRDefault="004D48CD" w:rsidP="004D48CD">
      <w:pPr>
        <w:numPr>
          <w:ilvl w:val="1"/>
          <w:numId w:val="16"/>
        </w:numPr>
      </w:pPr>
      <w:r w:rsidRPr="004D48CD">
        <w:t>Thorium-232 is a naturally occurring radionuclide that is found in the earth’s crust.</w:t>
      </w:r>
      <w:r w:rsidR="00CF2BDB">
        <w:t xml:space="preserve"> It is present in low levels throughout the natural environment which makes means everyone is exposed to very low levels from air, food, and water. </w:t>
      </w:r>
    </w:p>
    <w:p w14:paraId="0832BF08" w14:textId="5D14AC10" w:rsidR="00A72919" w:rsidRDefault="00A72919" w:rsidP="004D48CD">
      <w:pPr>
        <w:numPr>
          <w:ilvl w:val="1"/>
          <w:numId w:val="16"/>
        </w:numPr>
      </w:pPr>
      <w:r>
        <w:t>Workers in thorium mines may have higher exposure from breathing thorium dust</w:t>
      </w:r>
    </w:p>
    <w:p w14:paraId="60D8F4F9" w14:textId="7FA07544" w:rsidR="00A72919" w:rsidRPr="002C6B28" w:rsidRDefault="00A72919" w:rsidP="004D48CD">
      <w:pPr>
        <w:numPr>
          <w:ilvl w:val="1"/>
          <w:numId w:val="16"/>
        </w:numPr>
      </w:pPr>
      <w:r w:rsidRPr="00A72919">
        <w:t xml:space="preserve">In the past, between 1930 and 1955, more than 2.5 million people worldwide were exposed to thorium when they received </w:t>
      </w:r>
      <w:proofErr w:type="spellStart"/>
      <w:r w:rsidRPr="00A72919">
        <w:t>Thorotrast</w:t>
      </w:r>
      <w:proofErr w:type="spellEnd"/>
      <w:r w:rsidRPr="00A72919">
        <w:t>, a thorium-based x-ray contrast agent.</w:t>
      </w:r>
    </w:p>
    <w:p w14:paraId="70CA6BBF" w14:textId="77777777" w:rsidR="002C6B28" w:rsidRDefault="002C6B28" w:rsidP="002C6B28">
      <w:pPr>
        <w:numPr>
          <w:ilvl w:val="0"/>
          <w:numId w:val="17"/>
        </w:numPr>
      </w:pPr>
      <w:r w:rsidRPr="002C6B28">
        <w:t>Might it affect non-human biota? </w:t>
      </w:r>
    </w:p>
    <w:p w14:paraId="103DD4B5" w14:textId="43BA0B6E" w:rsidR="00CF139B" w:rsidRPr="002C6B28" w:rsidRDefault="00CF139B" w:rsidP="00CF139B">
      <w:pPr>
        <w:numPr>
          <w:ilvl w:val="1"/>
          <w:numId w:val="17"/>
        </w:numPr>
      </w:pPr>
      <w:r>
        <w:t>Th-232 has a low solubility and low specific activity making it rare to find it in biota</w:t>
      </w:r>
    </w:p>
    <w:p w14:paraId="20947C7E" w14:textId="77777777" w:rsidR="002C6B28" w:rsidRPr="002C6B28" w:rsidRDefault="002C6B28" w:rsidP="002C6B28">
      <w:pPr>
        <w:numPr>
          <w:ilvl w:val="0"/>
          <w:numId w:val="18"/>
        </w:numPr>
      </w:pPr>
      <w:r w:rsidRPr="002C6B28">
        <w:t>Given the information in Part 1, what are radiation protection considerations? </w:t>
      </w:r>
    </w:p>
    <w:p w14:paraId="7B78BC38" w14:textId="77777777" w:rsidR="002C6B28" w:rsidRDefault="002C6B28" w:rsidP="002C6B28">
      <w:pPr>
        <w:numPr>
          <w:ilvl w:val="0"/>
          <w:numId w:val="19"/>
        </w:numPr>
      </w:pPr>
      <w:r w:rsidRPr="002C6B28">
        <w:t>Is it more an internal or external hazard? </w:t>
      </w:r>
    </w:p>
    <w:p w14:paraId="292FB226" w14:textId="0CA59728" w:rsidR="00CF139B" w:rsidRDefault="00CF139B" w:rsidP="00CF139B">
      <w:pPr>
        <w:numPr>
          <w:ilvl w:val="1"/>
          <w:numId w:val="19"/>
        </w:numPr>
      </w:pPr>
      <w:r>
        <w:t>The main pathways of exposure are inhalation and ingestion</w:t>
      </w:r>
    </w:p>
    <w:p w14:paraId="08D46E7B" w14:textId="36721B14" w:rsidR="00CF139B" w:rsidRPr="002C6B28" w:rsidRDefault="00CF139B" w:rsidP="00CF139B">
      <w:pPr>
        <w:numPr>
          <w:ilvl w:val="1"/>
          <w:numId w:val="19"/>
        </w:numPr>
      </w:pPr>
      <w:r>
        <w:lastRenderedPageBreak/>
        <w:t>Thorium was found in highest concentrations in the pulmonary lymph nodes and lungs suggesting inhalation of soil particles is the primary route of human exposure</w:t>
      </w:r>
    </w:p>
    <w:p w14:paraId="61D9B75D" w14:textId="77777777" w:rsidR="002C6B28" w:rsidRPr="002C6B28" w:rsidRDefault="002C6B28" w:rsidP="002C6B28">
      <w:pPr>
        <w:numPr>
          <w:ilvl w:val="0"/>
          <w:numId w:val="20"/>
        </w:numPr>
      </w:pPr>
      <w:r w:rsidRPr="002C6B28">
        <w:t>What interventions may mitigate exposure? </w:t>
      </w:r>
    </w:p>
    <w:p w14:paraId="785C50E9" w14:textId="77777777" w:rsidR="002C6B28" w:rsidRPr="002C6B28" w:rsidRDefault="002C6B28" w:rsidP="002C6B28">
      <w:pPr>
        <w:numPr>
          <w:ilvl w:val="0"/>
          <w:numId w:val="21"/>
        </w:numPr>
      </w:pPr>
      <w:r w:rsidRPr="002C6B28">
        <w:t>Are there any historical or “fun” facts about this radionuclide? </w:t>
      </w:r>
    </w:p>
    <w:p w14:paraId="0898EA97" w14:textId="77777777" w:rsidR="002C6B28" w:rsidRDefault="002C6B28" w:rsidP="002C6B28">
      <w:pPr>
        <w:numPr>
          <w:ilvl w:val="0"/>
          <w:numId w:val="22"/>
        </w:numPr>
      </w:pPr>
      <w:r w:rsidRPr="002C6B28">
        <w:t>E.g., does it have historical significance? Are there any recent events, news stories, or pop culture references? </w:t>
      </w:r>
    </w:p>
    <w:p w14:paraId="5B9CB82A" w14:textId="39D72B8E" w:rsidR="001222D9" w:rsidRDefault="001222D9" w:rsidP="002C6B28">
      <w:pPr>
        <w:numPr>
          <w:ilvl w:val="0"/>
          <w:numId w:val="22"/>
        </w:numPr>
      </w:pPr>
      <w:r>
        <w:t>Thorium dioxide has the highest melting point of all known oxides making it idea</w:t>
      </w:r>
      <w:r w:rsidR="00630567">
        <w:t>l</w:t>
      </w:r>
      <w:r>
        <w:t xml:space="preserve"> for high temperature ceramics (e</w:t>
      </w:r>
      <w:r w:rsidR="00380569">
        <w:t>.</w:t>
      </w:r>
      <w:r>
        <w:t>g</w:t>
      </w:r>
      <w:r w:rsidR="00380569">
        <w:t>.</w:t>
      </w:r>
      <w:r>
        <w:t>, laboratory crucibles)</w:t>
      </w:r>
      <w:r w:rsidR="00630567">
        <w:t>; alloyed with magnesium to create lightweight, high-strength parts for aircraft, spacecraft, and missiles. Decline in use since the late 20</w:t>
      </w:r>
      <w:r w:rsidR="00630567" w:rsidRPr="00630567">
        <w:rPr>
          <w:vertAlign w:val="superscript"/>
        </w:rPr>
        <w:t>th</w:t>
      </w:r>
      <w:r w:rsidR="00630567">
        <w:t xml:space="preserve"> century due to concerns over handling and disposal related to radioactivity</w:t>
      </w:r>
    </w:p>
    <w:p w14:paraId="79A11C5B" w14:textId="7CDD9476" w:rsidR="00B376B6" w:rsidRPr="002C6B28" w:rsidRDefault="00B376B6" w:rsidP="002C6B28">
      <w:pPr>
        <w:numPr>
          <w:ilvl w:val="0"/>
          <w:numId w:val="22"/>
        </w:numPr>
      </w:pPr>
      <w:r>
        <w:t xml:space="preserve">It is the start of one of the 4 primordial decay series: the Thorium series. In this series radon is referred to as “thoron”. </w:t>
      </w:r>
    </w:p>
    <w:p w14:paraId="6D6C64B7" w14:textId="77777777" w:rsidR="002C6B28" w:rsidRPr="002C6B28" w:rsidRDefault="002C6B28" w:rsidP="002C6B28">
      <w:r w:rsidRPr="002C6B28">
        <w:t>Part 3: Public Communication </w:t>
      </w:r>
    </w:p>
    <w:p w14:paraId="7260B3B8" w14:textId="77777777" w:rsidR="002C6B28" w:rsidRPr="002C6B28" w:rsidRDefault="002C6B28" w:rsidP="002C6B28">
      <w:r w:rsidRPr="002C6B28">
        <w:t xml:space="preserve">For your “common” radionuclide, review the associated draft webpage content and provide any comments. </w:t>
      </w:r>
      <w:hyperlink r:id="rId8" w:tgtFrame="_blank" w:history="1">
        <w:r w:rsidRPr="002C6B28">
          <w:rPr>
            <w:rStyle w:val="Hyperlink"/>
          </w:rPr>
          <w:t>Radionuclides Webpages – HP Study Group Review</w:t>
        </w:r>
      </w:hyperlink>
      <w:r w:rsidRPr="002C6B28">
        <w:t> </w:t>
      </w:r>
    </w:p>
    <w:p w14:paraId="02DB81C6" w14:textId="77777777" w:rsidR="002C6B28" w:rsidRPr="002C6B28" w:rsidRDefault="002C6B28" w:rsidP="002C6B28">
      <w:r w:rsidRPr="002C6B28">
        <w:t>For consideration: </w:t>
      </w:r>
    </w:p>
    <w:p w14:paraId="3A0E3A02" w14:textId="77777777" w:rsidR="002C6B28" w:rsidRPr="002C6B28" w:rsidRDefault="002C6B28" w:rsidP="002C6B28">
      <w:pPr>
        <w:numPr>
          <w:ilvl w:val="0"/>
          <w:numId w:val="23"/>
        </w:numPr>
      </w:pPr>
      <w:r w:rsidRPr="002C6B28">
        <w:t>Do you notice any errors in the text? </w:t>
      </w:r>
    </w:p>
    <w:p w14:paraId="4ED43798" w14:textId="77777777" w:rsidR="002C6B28" w:rsidRPr="002C6B28" w:rsidRDefault="002C6B28" w:rsidP="002C6B28">
      <w:pPr>
        <w:numPr>
          <w:ilvl w:val="0"/>
          <w:numId w:val="24"/>
        </w:numPr>
      </w:pPr>
      <w:r w:rsidRPr="002C6B28">
        <w:t>Is the language written in a manner that is accessible to a public audience? </w:t>
      </w:r>
    </w:p>
    <w:p w14:paraId="3E659D08" w14:textId="77777777" w:rsidR="002C6B28" w:rsidRPr="002C6B28" w:rsidRDefault="002C6B28" w:rsidP="002C6B28">
      <w:pPr>
        <w:numPr>
          <w:ilvl w:val="0"/>
          <w:numId w:val="25"/>
        </w:numPr>
      </w:pPr>
      <w:r w:rsidRPr="002C6B28">
        <w:t>Is there any key information about the radionuclide that should be included? </w:t>
      </w:r>
    </w:p>
    <w:p w14:paraId="5B461B70" w14:textId="77777777" w:rsidR="002C6B28" w:rsidRPr="002C6B28" w:rsidRDefault="002C6B28" w:rsidP="002C6B28">
      <w:r w:rsidRPr="002C6B28">
        <w:t xml:space="preserve">If you are making edits or comments directly in word, </w:t>
      </w:r>
      <w:hyperlink r:id="rId9" w:tgtFrame="_blank" w:history="1">
        <w:r w:rsidRPr="002C6B28">
          <w:rPr>
            <w:rStyle w:val="Hyperlink"/>
          </w:rPr>
          <w:t xml:space="preserve">please save a </w:t>
        </w:r>
        <w:r w:rsidRPr="002C6B28">
          <w:rPr>
            <w:rStyle w:val="Hyperlink"/>
            <w:b/>
            <w:bCs/>
          </w:rPr>
          <w:t>copy</w:t>
        </w:r>
        <w:r w:rsidRPr="002C6B28">
          <w:rPr>
            <w:rStyle w:val="Hyperlink"/>
          </w:rPr>
          <w:t xml:space="preserve"> in this folder</w:t>
        </w:r>
      </w:hyperlink>
      <w:r w:rsidRPr="002C6B28">
        <w:t xml:space="preserve"> and use track changes! </w:t>
      </w:r>
    </w:p>
    <w:p w14:paraId="6949B84C" w14:textId="0E178984" w:rsidR="007A38CF" w:rsidRDefault="002D4428">
      <w:r>
        <w:rPr>
          <w:noProof/>
        </w:rPr>
        <w:lastRenderedPageBreak/>
        <w:drawing>
          <wp:inline distT="0" distB="0" distL="0" distR="0" wp14:anchorId="388BAC92" wp14:editId="58E26978">
            <wp:extent cx="5943600" cy="3114040"/>
            <wp:effectExtent l="0" t="0" r="0" b="0"/>
            <wp:docPr id="824190072" name="Picture 1" descr="Occurrence of thorium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ccurrence of thorium - Wikiped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0BA19" w14:textId="77777777" w:rsidR="002D4428" w:rsidRDefault="002D4428"/>
    <w:sectPr w:rsidR="002D4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044"/>
    <w:multiLevelType w:val="multilevel"/>
    <w:tmpl w:val="CA361D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E291E"/>
    <w:multiLevelType w:val="multilevel"/>
    <w:tmpl w:val="31668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E5141"/>
    <w:multiLevelType w:val="multilevel"/>
    <w:tmpl w:val="CFA8E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F41164"/>
    <w:multiLevelType w:val="multilevel"/>
    <w:tmpl w:val="AE9658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A6A47"/>
    <w:multiLevelType w:val="multilevel"/>
    <w:tmpl w:val="C40CB3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87DD3"/>
    <w:multiLevelType w:val="multilevel"/>
    <w:tmpl w:val="AC1C25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25633E"/>
    <w:multiLevelType w:val="multilevel"/>
    <w:tmpl w:val="20B65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A04454"/>
    <w:multiLevelType w:val="multilevel"/>
    <w:tmpl w:val="2B8AC2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E02AA6"/>
    <w:multiLevelType w:val="multilevel"/>
    <w:tmpl w:val="BD32BB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ECE3847"/>
    <w:multiLevelType w:val="multilevel"/>
    <w:tmpl w:val="5762D7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6A0CAD"/>
    <w:multiLevelType w:val="multilevel"/>
    <w:tmpl w:val="0B9A4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5B91FED"/>
    <w:multiLevelType w:val="multilevel"/>
    <w:tmpl w:val="055AAE0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956449"/>
    <w:multiLevelType w:val="multilevel"/>
    <w:tmpl w:val="FB4C3BA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A52E7E"/>
    <w:multiLevelType w:val="multilevel"/>
    <w:tmpl w:val="92E4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BCA3AD7"/>
    <w:multiLevelType w:val="multilevel"/>
    <w:tmpl w:val="2AE887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A82418"/>
    <w:multiLevelType w:val="multilevel"/>
    <w:tmpl w:val="8D64A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76124"/>
    <w:multiLevelType w:val="multilevel"/>
    <w:tmpl w:val="E83CF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E719EC"/>
    <w:multiLevelType w:val="multilevel"/>
    <w:tmpl w:val="5A4219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045560"/>
    <w:multiLevelType w:val="multilevel"/>
    <w:tmpl w:val="114E3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9DA1024"/>
    <w:multiLevelType w:val="multilevel"/>
    <w:tmpl w:val="E6EEC4A6"/>
    <w:lvl w:ilvl="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0" w15:restartNumberingAfterBreak="0">
    <w:nsid w:val="76F5653A"/>
    <w:multiLevelType w:val="multilevel"/>
    <w:tmpl w:val="6D98BE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A941D5"/>
    <w:multiLevelType w:val="multilevel"/>
    <w:tmpl w:val="74DC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9144734"/>
    <w:multiLevelType w:val="multilevel"/>
    <w:tmpl w:val="B312270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6E2555"/>
    <w:multiLevelType w:val="multilevel"/>
    <w:tmpl w:val="F1CE02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E91399"/>
    <w:multiLevelType w:val="multilevel"/>
    <w:tmpl w:val="21A624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590113">
    <w:abstractNumId w:val="18"/>
  </w:num>
  <w:num w:numId="2" w16cid:durableId="208954347">
    <w:abstractNumId w:val="2"/>
  </w:num>
  <w:num w:numId="3" w16cid:durableId="1435200353">
    <w:abstractNumId w:val="8"/>
  </w:num>
  <w:num w:numId="4" w16cid:durableId="1536190368">
    <w:abstractNumId w:val="1"/>
  </w:num>
  <w:num w:numId="5" w16cid:durableId="431046954">
    <w:abstractNumId w:val="24"/>
  </w:num>
  <w:num w:numId="6" w16cid:durableId="1041368093">
    <w:abstractNumId w:val="9"/>
  </w:num>
  <w:num w:numId="7" w16cid:durableId="1691488747">
    <w:abstractNumId w:val="4"/>
  </w:num>
  <w:num w:numId="8" w16cid:durableId="1932811634">
    <w:abstractNumId w:val="5"/>
  </w:num>
  <w:num w:numId="9" w16cid:durableId="908728361">
    <w:abstractNumId w:val="15"/>
  </w:num>
  <w:num w:numId="10" w16cid:durableId="466506183">
    <w:abstractNumId w:val="14"/>
  </w:num>
  <w:num w:numId="11" w16cid:durableId="1636176972">
    <w:abstractNumId w:val="19"/>
  </w:num>
  <w:num w:numId="12" w16cid:durableId="827139605">
    <w:abstractNumId w:val="11"/>
  </w:num>
  <w:num w:numId="13" w16cid:durableId="1117069452">
    <w:abstractNumId w:val="20"/>
  </w:num>
  <w:num w:numId="14" w16cid:durableId="158811924">
    <w:abstractNumId w:val="6"/>
  </w:num>
  <w:num w:numId="15" w16cid:durableId="1131829677">
    <w:abstractNumId w:val="16"/>
  </w:num>
  <w:num w:numId="16" w16cid:durableId="190609369">
    <w:abstractNumId w:val="23"/>
  </w:num>
  <w:num w:numId="17" w16cid:durableId="572862341">
    <w:abstractNumId w:val="12"/>
  </w:num>
  <w:num w:numId="18" w16cid:durableId="487402975">
    <w:abstractNumId w:val="3"/>
  </w:num>
  <w:num w:numId="19" w16cid:durableId="722945776">
    <w:abstractNumId w:val="0"/>
  </w:num>
  <w:num w:numId="20" w16cid:durableId="1859741">
    <w:abstractNumId w:val="22"/>
  </w:num>
  <w:num w:numId="21" w16cid:durableId="849375812">
    <w:abstractNumId w:val="17"/>
  </w:num>
  <w:num w:numId="22" w16cid:durableId="491533855">
    <w:abstractNumId w:val="7"/>
  </w:num>
  <w:num w:numId="23" w16cid:durableId="1116221157">
    <w:abstractNumId w:val="13"/>
  </w:num>
  <w:num w:numId="24" w16cid:durableId="2104757289">
    <w:abstractNumId w:val="21"/>
  </w:num>
  <w:num w:numId="25" w16cid:durableId="20413468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B28"/>
    <w:rsid w:val="00003212"/>
    <w:rsid w:val="001222D9"/>
    <w:rsid w:val="00124162"/>
    <w:rsid w:val="002679B1"/>
    <w:rsid w:val="002C6B28"/>
    <w:rsid w:val="002D4428"/>
    <w:rsid w:val="00380569"/>
    <w:rsid w:val="00387FAB"/>
    <w:rsid w:val="00433A1F"/>
    <w:rsid w:val="004D48CD"/>
    <w:rsid w:val="00630567"/>
    <w:rsid w:val="00725F4C"/>
    <w:rsid w:val="007453C1"/>
    <w:rsid w:val="007A38CF"/>
    <w:rsid w:val="00810EFD"/>
    <w:rsid w:val="008B1450"/>
    <w:rsid w:val="00A72919"/>
    <w:rsid w:val="00B376B6"/>
    <w:rsid w:val="00BE1D85"/>
    <w:rsid w:val="00CF139B"/>
    <w:rsid w:val="00CF2BDB"/>
    <w:rsid w:val="00DC0445"/>
    <w:rsid w:val="00DE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FDDC3"/>
  <w15:chartTrackingRefBased/>
  <w15:docId w15:val="{8C451AFA-E1E0-41A5-A4D7-C5243BB3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6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6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6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6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6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6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6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6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6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6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6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6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6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6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6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6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6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6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6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6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6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6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6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6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6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6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6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6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6B2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C6B2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B2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B1450"/>
    <w:rPr>
      <w:color w:val="666666"/>
    </w:rPr>
  </w:style>
  <w:style w:type="character" w:styleId="FollowedHyperlink">
    <w:name w:val="FollowedHyperlink"/>
    <w:basedOn w:val="DefaultParagraphFont"/>
    <w:uiPriority w:val="99"/>
    <w:semiHidden/>
    <w:unhideWhenUsed/>
    <w:rsid w:val="001222D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6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8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2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0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7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3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6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6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2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3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9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2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pa.sharepoint.com/:f:/r/sites/HealthPhysics/Shared%20Documents/Intro%20HP%20Training/Problem%20Sets/Radionuclide%20Webpages?csf=1&amp;web=1&amp;e=L4fWb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ndc.bnl.gov/nudat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-nds.iaea.org/relnsd/vcharthtml/VChartHTML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sepa.sharepoint.com/:w:/r/sites/HealthPhysics/Shared%20Documents/Intro%20HP%20Training/Problem%20Sets/1B%20Radionuclide%20List%20Signups.docx?d=we505e1f88fc241a18125b6749f3b6837&amp;csf=1&amp;web=1&amp;e=iQ4TXg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usepa.sharepoint.com/:f:/r/sites/HealthPhysics/Shared%20Documents/Intro%20HP%20Training/Problem%20Sets/Radionuclide%20Webpages/SAVE%20EDITED%20VERSIONS%20HERE?csf=1&amp;web=1&amp;e=BzfrW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Kirk</dc:creator>
  <cp:keywords/>
  <dc:description/>
  <cp:lastModifiedBy>Baker, Kirk</cp:lastModifiedBy>
  <cp:revision>11</cp:revision>
  <dcterms:created xsi:type="dcterms:W3CDTF">2025-09-26T14:11:00Z</dcterms:created>
  <dcterms:modified xsi:type="dcterms:W3CDTF">2025-09-29T14:56:00Z</dcterms:modified>
</cp:coreProperties>
</file>